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2D97" w14:textId="66A27F99" w:rsidR="002A0DA4" w:rsidRDefault="002A0DA4" w:rsidP="00493AF1">
      <w:pPr>
        <w:pStyle w:val="Title"/>
        <w:spacing w:after="0"/>
        <w:jc w:val="center"/>
        <w:rPr>
          <w:rFonts w:ascii="Aptos" w:hAnsi="Aptos"/>
          <w:b/>
          <w:bCs/>
          <w:color w:val="394A58"/>
          <w:sz w:val="44"/>
          <w:szCs w:val="44"/>
        </w:rPr>
      </w:pPr>
      <w:r>
        <w:rPr>
          <w:rFonts w:ascii="Aptos" w:hAnsi="Aptos"/>
          <w:b/>
          <w:bCs/>
          <w:noProof/>
          <w:color w:val="394A58"/>
          <w:sz w:val="44"/>
          <w:szCs w:val="44"/>
        </w:rPr>
        <w:drawing>
          <wp:inline distT="0" distB="0" distL="0" distR="0" wp14:anchorId="0305EBA0" wp14:editId="16FC5972">
            <wp:extent cx="2844800" cy="560450"/>
            <wp:effectExtent l="0" t="0" r="0" b="0"/>
            <wp:docPr id="631123351" name="Picture 2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23351" name="Picture 2" descr="A close 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232" cy="57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24629" w14:textId="77777777" w:rsidR="002A0DA4" w:rsidRDefault="002A0DA4" w:rsidP="00493AF1">
      <w:pPr>
        <w:pStyle w:val="Title"/>
        <w:spacing w:after="0"/>
        <w:jc w:val="center"/>
        <w:rPr>
          <w:rFonts w:ascii="Aptos" w:hAnsi="Aptos"/>
          <w:b/>
          <w:bCs/>
          <w:color w:val="394A58"/>
          <w:sz w:val="44"/>
          <w:szCs w:val="44"/>
        </w:rPr>
      </w:pPr>
    </w:p>
    <w:p w14:paraId="209DF677" w14:textId="46339259" w:rsidR="00D843B3" w:rsidRPr="00D843B3" w:rsidRDefault="00D843B3" w:rsidP="00493AF1">
      <w:pPr>
        <w:pStyle w:val="Title"/>
        <w:spacing w:after="0"/>
        <w:jc w:val="center"/>
        <w:rPr>
          <w:rFonts w:ascii="Aptos" w:hAnsi="Aptos"/>
          <w:b/>
          <w:bCs/>
          <w:color w:val="394A58"/>
          <w:sz w:val="44"/>
          <w:szCs w:val="44"/>
        </w:rPr>
      </w:pPr>
      <w:r w:rsidRPr="00D843B3">
        <w:rPr>
          <w:rFonts w:ascii="Aptos" w:hAnsi="Aptos"/>
          <w:b/>
          <w:bCs/>
          <w:color w:val="394A58"/>
          <w:sz w:val="44"/>
          <w:szCs w:val="44"/>
        </w:rPr>
        <w:t>Roadmap to Resilience</w:t>
      </w:r>
    </w:p>
    <w:p w14:paraId="67050799" w14:textId="77777777" w:rsidR="00D843B3" w:rsidRPr="00D843B3" w:rsidRDefault="00D843B3" w:rsidP="00493AF1">
      <w:pPr>
        <w:pStyle w:val="Title"/>
        <w:spacing w:after="0"/>
        <w:jc w:val="center"/>
        <w:rPr>
          <w:rFonts w:ascii="Aptos" w:hAnsi="Aptos"/>
          <w:i/>
          <w:iCs/>
          <w:color w:val="394A58"/>
          <w:sz w:val="28"/>
          <w:szCs w:val="28"/>
        </w:rPr>
      </w:pPr>
    </w:p>
    <w:p w14:paraId="470166A7" w14:textId="109FE140" w:rsidR="00D843B3" w:rsidRPr="00D843B3" w:rsidRDefault="00D843B3" w:rsidP="00493AF1">
      <w:pPr>
        <w:pStyle w:val="Title"/>
        <w:spacing w:after="0"/>
        <w:jc w:val="center"/>
        <w:rPr>
          <w:rFonts w:ascii="Aptos" w:hAnsi="Aptos"/>
          <w:i/>
          <w:iCs/>
          <w:color w:val="394A58"/>
          <w:sz w:val="28"/>
          <w:szCs w:val="28"/>
        </w:rPr>
      </w:pPr>
      <w:r w:rsidRPr="00D843B3">
        <w:rPr>
          <w:rFonts w:ascii="Aptos" w:hAnsi="Aptos"/>
          <w:i/>
          <w:iCs/>
          <w:color w:val="394A58"/>
          <w:sz w:val="28"/>
          <w:szCs w:val="28"/>
        </w:rPr>
        <w:t xml:space="preserve">How to </w:t>
      </w:r>
      <w:r w:rsidR="00BB1EB4">
        <w:rPr>
          <w:rFonts w:ascii="Aptos" w:hAnsi="Aptos"/>
          <w:i/>
          <w:iCs/>
          <w:color w:val="394A58"/>
          <w:sz w:val="28"/>
          <w:szCs w:val="28"/>
        </w:rPr>
        <w:t>Reb</w:t>
      </w:r>
      <w:r w:rsidRPr="00D843B3">
        <w:rPr>
          <w:rFonts w:ascii="Aptos" w:hAnsi="Aptos"/>
          <w:i/>
          <w:iCs/>
          <w:color w:val="394A58"/>
          <w:sz w:val="28"/>
          <w:szCs w:val="28"/>
        </w:rPr>
        <w:t xml:space="preserve">uild </w:t>
      </w:r>
      <w:r w:rsidR="00BB1EB4">
        <w:rPr>
          <w:rFonts w:ascii="Aptos" w:hAnsi="Aptos"/>
          <w:i/>
          <w:iCs/>
          <w:color w:val="394A58"/>
          <w:sz w:val="28"/>
          <w:szCs w:val="28"/>
        </w:rPr>
        <w:t xml:space="preserve">Europe’s </w:t>
      </w:r>
      <w:r w:rsidRPr="00D843B3">
        <w:rPr>
          <w:rFonts w:ascii="Aptos" w:hAnsi="Aptos"/>
          <w:i/>
          <w:iCs/>
          <w:color w:val="394A58"/>
          <w:sz w:val="28"/>
          <w:szCs w:val="28"/>
        </w:rPr>
        <w:t xml:space="preserve">Electronics Manufacturing and </w:t>
      </w:r>
    </w:p>
    <w:p w14:paraId="09863EAC" w14:textId="51B35EC2" w:rsidR="00B60563" w:rsidRPr="00D843B3" w:rsidRDefault="00BB1EB4" w:rsidP="00493AF1">
      <w:pPr>
        <w:jc w:val="center"/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</w:pPr>
      <w:r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  <w:t xml:space="preserve">Secure its </w:t>
      </w:r>
      <w:r w:rsidR="00D843B3" w:rsidRPr="00D843B3"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  <w:t>Supply Chains for Defense and Critical Infrastructure</w:t>
      </w:r>
    </w:p>
    <w:p w14:paraId="04D2E31D" w14:textId="77777777" w:rsidR="00B60563" w:rsidRPr="00D843B3" w:rsidRDefault="00B60563" w:rsidP="00493AF1">
      <w:pPr>
        <w:rPr>
          <w:rFonts w:ascii="Aptos" w:hAnsi="Aptos"/>
          <w:sz w:val="24"/>
          <w:szCs w:val="24"/>
        </w:rPr>
      </w:pPr>
    </w:p>
    <w:p w14:paraId="512ED061" w14:textId="388105B6" w:rsidR="00B60563" w:rsidRPr="00D843B3" w:rsidRDefault="00B60563" w:rsidP="00493AF1">
      <w:pPr>
        <w:rPr>
          <w:rFonts w:ascii="Aptos" w:eastAsia="Arial" w:hAnsi="Aptos" w:cs="Arial"/>
          <w:color w:val="000000" w:themeColor="text1"/>
          <w:sz w:val="24"/>
          <w:szCs w:val="24"/>
        </w:rPr>
      </w:pPr>
      <w:r w:rsidRPr="00D843B3">
        <w:rPr>
          <w:rFonts w:ascii="Aptos" w:hAnsi="Aptos"/>
          <w:sz w:val="24"/>
          <w:szCs w:val="24"/>
        </w:rPr>
        <w:t xml:space="preserve">In today’s world, our lives depend on electronics. </w:t>
      </w:r>
      <w:r w:rsidRPr="00D843B3">
        <w:rPr>
          <w:rFonts w:ascii="Aptos" w:eastAsia="Arial" w:hAnsi="Aptos" w:cs="Arial"/>
          <w:sz w:val="24"/>
          <w:szCs w:val="24"/>
        </w:rPr>
        <w:t>E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lectronics are at the heart of virtually every economic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activity,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which makes the electronics supply chain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>vital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 to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our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>economi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es, our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governments, and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our daily lives. 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 </w:t>
      </w:r>
    </w:p>
    <w:p w14:paraId="7B1F7554" w14:textId="77777777" w:rsidR="00B60563" w:rsidRPr="00D843B3" w:rsidRDefault="00B60563" w:rsidP="00493AF1">
      <w:pPr>
        <w:rPr>
          <w:rFonts w:ascii="Aptos" w:eastAsia="Arial" w:hAnsi="Aptos" w:cs="Arial"/>
          <w:color w:val="000000" w:themeColor="text1"/>
          <w:sz w:val="24"/>
          <w:szCs w:val="24"/>
        </w:rPr>
      </w:pPr>
    </w:p>
    <w:p w14:paraId="759B3602" w14:textId="15A5D0BC" w:rsidR="00D843B3" w:rsidRPr="00D843B3" w:rsidRDefault="00B60563" w:rsidP="00493AF1">
      <w:pPr>
        <w:rPr>
          <w:rFonts w:ascii="Aptos" w:eastAsia="Arial" w:hAnsi="Aptos" w:cs="Arial"/>
          <w:color w:val="000000" w:themeColor="text1"/>
          <w:sz w:val="24"/>
          <w:szCs w:val="24"/>
        </w:rPr>
      </w:pPr>
      <w:r w:rsidRPr="00D843B3">
        <w:rPr>
          <w:rFonts w:ascii="Aptos" w:hAnsi="Aptos"/>
          <w:sz w:val="24"/>
          <w:szCs w:val="24"/>
        </w:rPr>
        <w:t>But when it comes to securing th</w:t>
      </w:r>
      <w:r w:rsidR="00983D71" w:rsidRPr="00D843B3">
        <w:rPr>
          <w:rFonts w:ascii="Aptos" w:hAnsi="Aptos"/>
          <w:sz w:val="24"/>
          <w:szCs w:val="24"/>
        </w:rPr>
        <w:t xml:space="preserve">e electronics </w:t>
      </w:r>
      <w:r w:rsidRPr="00D843B3">
        <w:rPr>
          <w:rFonts w:ascii="Aptos" w:hAnsi="Aptos"/>
          <w:sz w:val="24"/>
          <w:szCs w:val="24"/>
        </w:rPr>
        <w:t>supply chain, n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>o single company or country can stand alone.</w:t>
      </w:r>
      <w:r w:rsidRPr="00D843B3">
        <w:rPr>
          <w:rFonts w:ascii="Aptos" w:hAnsi="Aptos"/>
          <w:sz w:val="24"/>
          <w:szCs w:val="24"/>
        </w:rPr>
        <w:t xml:space="preserve">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>Electronics have the most globally integrated supply chain of any industry, surpassing even the automotive sector in cross-border complexity. Th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at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>de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gree of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interdependence challenges the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notion of any one nation </w:t>
      </w:r>
      <w:r w:rsidR="00BB1EB4">
        <w:rPr>
          <w:rFonts w:ascii="Aptos" w:eastAsia="Arial" w:hAnsi="Aptos" w:cs="Arial"/>
          <w:color w:val="000000" w:themeColor="text1"/>
          <w:sz w:val="24"/>
          <w:szCs w:val="24"/>
        </w:rPr>
        <w:t xml:space="preserve">or region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building a complete domestic ecosystem for electronics manufacturing. </w:t>
      </w:r>
    </w:p>
    <w:p w14:paraId="1C25EAF5" w14:textId="77777777" w:rsidR="00D843B3" w:rsidRPr="00D843B3" w:rsidRDefault="00D843B3" w:rsidP="00493AF1">
      <w:pPr>
        <w:rPr>
          <w:rFonts w:ascii="Aptos" w:eastAsia="Arial" w:hAnsi="Aptos" w:cs="Arial"/>
          <w:color w:val="000000" w:themeColor="text1"/>
          <w:sz w:val="24"/>
          <w:szCs w:val="24"/>
        </w:rPr>
      </w:pPr>
    </w:p>
    <w:p w14:paraId="67F38A5B" w14:textId="3ECA3DA7" w:rsidR="00B60563" w:rsidRPr="00D843B3" w:rsidRDefault="003E4057" w:rsidP="00493AF1">
      <w:pPr>
        <w:rPr>
          <w:rFonts w:ascii="Aptos" w:eastAsia="Arial" w:hAnsi="Aptos" w:cs="Arial"/>
          <w:color w:val="000000" w:themeColor="text1"/>
          <w:sz w:val="24"/>
          <w:szCs w:val="24"/>
        </w:rPr>
      </w:pP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>Yes, e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very nation has an interest in creating a more robust domestic industrial base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>–</w:t>
      </w:r>
      <w:r w:rsidR="00D843B3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 including the skilled workers needed to build and use them –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but they </w:t>
      </w:r>
      <w:r w:rsidR="00292961">
        <w:rPr>
          <w:rFonts w:ascii="Aptos" w:eastAsia="Arial" w:hAnsi="Aptos" w:cs="Arial"/>
          <w:color w:val="000000" w:themeColor="text1"/>
          <w:sz w:val="24"/>
          <w:szCs w:val="24"/>
        </w:rPr>
        <w:t xml:space="preserve">also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must have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>more secure, resilient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>,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 </w:t>
      </w:r>
      <w:r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international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>supply chains</w:t>
      </w:r>
      <w:r w:rsidR="00D843B3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. </w:t>
      </w:r>
      <w:r w:rsidR="00983D71" w:rsidRPr="00D843B3">
        <w:rPr>
          <w:rFonts w:ascii="Aptos" w:eastAsia="Arial" w:hAnsi="Aptos" w:cs="Arial"/>
          <w:color w:val="000000" w:themeColor="text1"/>
          <w:sz w:val="24"/>
          <w:szCs w:val="24"/>
        </w:rPr>
        <w:t xml:space="preserve"> </w:t>
      </w:r>
    </w:p>
    <w:p w14:paraId="050FB8C0" w14:textId="77777777" w:rsidR="00B60563" w:rsidRPr="00D843B3" w:rsidRDefault="00B60563" w:rsidP="00493AF1">
      <w:pPr>
        <w:rPr>
          <w:rFonts w:ascii="Aptos" w:eastAsia="Arial" w:hAnsi="Aptos" w:cs="Arial"/>
          <w:color w:val="000000" w:themeColor="text1"/>
          <w:sz w:val="24"/>
          <w:szCs w:val="24"/>
        </w:rPr>
      </w:pPr>
    </w:p>
    <w:p w14:paraId="0FF92E64" w14:textId="0F1C08E9" w:rsidR="00B60563" w:rsidRPr="00D843B3" w:rsidRDefault="003E4057" w:rsidP="00493AF1">
      <w:pPr>
        <w:jc w:val="center"/>
        <w:rPr>
          <w:rFonts w:ascii="Aptos" w:hAnsi="Aptos"/>
          <w:b/>
          <w:bCs/>
          <w:sz w:val="24"/>
          <w:szCs w:val="24"/>
        </w:rPr>
      </w:pPr>
      <w:r w:rsidRPr="00D843B3">
        <w:rPr>
          <w:rFonts w:ascii="Aptos" w:hAnsi="Aptos"/>
          <w:b/>
          <w:bCs/>
          <w:sz w:val="24"/>
          <w:szCs w:val="24"/>
        </w:rPr>
        <w:t xml:space="preserve">The </w:t>
      </w:r>
      <w:r w:rsidR="00BB1EB4">
        <w:rPr>
          <w:rFonts w:ascii="Aptos" w:hAnsi="Aptos"/>
          <w:b/>
          <w:bCs/>
          <w:sz w:val="24"/>
          <w:szCs w:val="24"/>
        </w:rPr>
        <w:t xml:space="preserve">European </w:t>
      </w:r>
      <w:r w:rsidRPr="00D843B3">
        <w:rPr>
          <w:rFonts w:ascii="Aptos" w:hAnsi="Aptos"/>
          <w:b/>
          <w:bCs/>
          <w:sz w:val="24"/>
          <w:szCs w:val="24"/>
        </w:rPr>
        <w:t xml:space="preserve">Policy Agenda </w:t>
      </w:r>
    </w:p>
    <w:p w14:paraId="42983330" w14:textId="77777777" w:rsidR="003E4057" w:rsidRDefault="003E4057" w:rsidP="00493AF1">
      <w:pPr>
        <w:rPr>
          <w:rFonts w:ascii="Aptos" w:hAnsi="Aptos"/>
          <w:sz w:val="24"/>
          <w:szCs w:val="24"/>
        </w:rPr>
      </w:pPr>
    </w:p>
    <w:p w14:paraId="1517F54A" w14:textId="5C66E479" w:rsidR="00BB1EB4" w:rsidRDefault="00BB1EB4" w:rsidP="00493AF1">
      <w:pPr>
        <w:rPr>
          <w:rFonts w:ascii="Aptos" w:hAnsi="Aptos"/>
          <w:sz w:val="24"/>
          <w:szCs w:val="24"/>
        </w:rPr>
      </w:pPr>
      <w:r w:rsidRPr="00BB1EB4">
        <w:rPr>
          <w:rFonts w:ascii="Aptos" w:hAnsi="Aptos"/>
          <w:sz w:val="24"/>
          <w:szCs w:val="24"/>
        </w:rPr>
        <w:t>Electronics</w:t>
      </w:r>
      <w:r>
        <w:rPr>
          <w:rFonts w:ascii="Aptos" w:hAnsi="Aptos"/>
          <w:sz w:val="24"/>
          <w:szCs w:val="24"/>
        </w:rPr>
        <w:t xml:space="preserve"> </w:t>
      </w:r>
      <w:r w:rsidRPr="00BB1EB4">
        <w:rPr>
          <w:rFonts w:ascii="Aptos" w:hAnsi="Aptos"/>
          <w:sz w:val="24"/>
          <w:szCs w:val="24"/>
        </w:rPr>
        <w:t xml:space="preserve">power Europe’s global leadership in industrial electronics, </w:t>
      </w:r>
      <w:proofErr w:type="spellStart"/>
      <w:r w:rsidRPr="00BB1EB4">
        <w:rPr>
          <w:rFonts w:ascii="Aptos" w:hAnsi="Aptos"/>
          <w:sz w:val="24"/>
          <w:szCs w:val="24"/>
        </w:rPr>
        <w:t>defence</w:t>
      </w:r>
      <w:proofErr w:type="spellEnd"/>
      <w:r w:rsidRPr="00BB1EB4">
        <w:rPr>
          <w:rFonts w:ascii="Aptos" w:hAnsi="Aptos"/>
          <w:sz w:val="24"/>
          <w:szCs w:val="24"/>
        </w:rPr>
        <w:t xml:space="preserve"> and aerospace</w:t>
      </w:r>
      <w:r>
        <w:rPr>
          <w:rFonts w:ascii="Aptos" w:hAnsi="Aptos"/>
          <w:sz w:val="24"/>
          <w:szCs w:val="24"/>
        </w:rPr>
        <w:t>, m</w:t>
      </w:r>
      <w:r w:rsidRPr="00BB1EB4">
        <w:rPr>
          <w:rFonts w:ascii="Aptos" w:hAnsi="Aptos"/>
          <w:sz w:val="24"/>
          <w:szCs w:val="24"/>
        </w:rPr>
        <w:t>edical technologies, and communications infrastructure. Moreover, electronics are crucial for the digital and green transitions</w:t>
      </w:r>
      <w:r>
        <w:rPr>
          <w:rFonts w:ascii="Aptos" w:hAnsi="Aptos"/>
          <w:sz w:val="24"/>
          <w:szCs w:val="24"/>
        </w:rPr>
        <w:t xml:space="preserve">. However, the </w:t>
      </w:r>
      <w:r w:rsidRPr="00BB1EB4">
        <w:rPr>
          <w:rFonts w:ascii="Aptos" w:hAnsi="Aptos"/>
          <w:sz w:val="24"/>
          <w:szCs w:val="24"/>
        </w:rPr>
        <w:t xml:space="preserve">EU’s market share in critical electronics components </w:t>
      </w:r>
      <w:r>
        <w:rPr>
          <w:rFonts w:ascii="Aptos" w:hAnsi="Aptos"/>
          <w:sz w:val="24"/>
          <w:szCs w:val="24"/>
        </w:rPr>
        <w:t xml:space="preserve">is shrinking. The Global Electronics Association calls on the European Union institutions and national governments to adopt this policy agenda. </w:t>
      </w:r>
    </w:p>
    <w:p w14:paraId="26C92EFB" w14:textId="77777777" w:rsidR="00BB1EB4" w:rsidRPr="00D843B3" w:rsidRDefault="00BB1EB4" w:rsidP="00493AF1">
      <w:pPr>
        <w:rPr>
          <w:rFonts w:ascii="Aptos" w:hAnsi="Aptos"/>
          <w:sz w:val="24"/>
          <w:szCs w:val="24"/>
        </w:rPr>
      </w:pPr>
    </w:p>
    <w:p w14:paraId="260EEEB8" w14:textId="77777777" w:rsidR="00BB1EB4" w:rsidRDefault="00BB1EB4" w:rsidP="00BB1EB4">
      <w:pPr>
        <w:rPr>
          <w:rFonts w:ascii="Aptos" w:hAnsi="Aptos"/>
          <w:b/>
          <w:bCs/>
          <w:sz w:val="24"/>
          <w:szCs w:val="24"/>
        </w:rPr>
      </w:pPr>
      <w:r w:rsidRPr="00BB1EB4">
        <w:rPr>
          <w:rFonts w:ascii="Aptos" w:hAnsi="Aptos"/>
          <w:b/>
          <w:bCs/>
          <w:sz w:val="24"/>
          <w:szCs w:val="24"/>
        </w:rPr>
        <w:t>Establish a</w:t>
      </w:r>
      <w:r>
        <w:rPr>
          <w:rFonts w:ascii="Aptos" w:hAnsi="Aptos"/>
          <w:b/>
          <w:bCs/>
          <w:sz w:val="24"/>
          <w:szCs w:val="24"/>
        </w:rPr>
        <w:t xml:space="preserve"> Region-wide </w:t>
      </w:r>
      <w:r w:rsidRPr="00BB1EB4">
        <w:rPr>
          <w:rFonts w:ascii="Aptos" w:hAnsi="Aptos"/>
          <w:b/>
          <w:bCs/>
          <w:sz w:val="24"/>
          <w:szCs w:val="24"/>
        </w:rPr>
        <w:t xml:space="preserve">Electronics Manufacturing Strategy </w:t>
      </w:r>
    </w:p>
    <w:p w14:paraId="5F5DDB41" w14:textId="4BBAE00F" w:rsidR="00B60563" w:rsidRDefault="00BB1EB4" w:rsidP="00BB1EB4">
      <w:pPr>
        <w:pStyle w:val="ListParagraph"/>
        <w:numPr>
          <w:ilvl w:val="0"/>
          <w:numId w:val="12"/>
        </w:numPr>
        <w:rPr>
          <w:rFonts w:ascii="Aptos" w:hAnsi="Aptos" w:cstheme="majorHAnsi"/>
          <w:sz w:val="24"/>
          <w:szCs w:val="24"/>
        </w:rPr>
      </w:pPr>
      <w:r w:rsidRPr="00BB1EB4">
        <w:rPr>
          <w:rFonts w:ascii="Aptos" w:hAnsi="Aptos" w:cstheme="majorHAnsi"/>
          <w:sz w:val="24"/>
          <w:szCs w:val="24"/>
        </w:rPr>
        <w:t xml:space="preserve">The 2023 Structured Dialogue on Electronics Manufacturing highlighted capacity and capability gaps </w:t>
      </w:r>
      <w:r>
        <w:rPr>
          <w:rFonts w:ascii="Aptos" w:hAnsi="Aptos" w:cstheme="majorHAnsi"/>
          <w:sz w:val="24"/>
          <w:szCs w:val="24"/>
        </w:rPr>
        <w:t xml:space="preserve">that should become </w:t>
      </w:r>
      <w:r w:rsidRPr="00BB1EB4">
        <w:rPr>
          <w:rFonts w:ascii="Aptos" w:hAnsi="Aptos" w:cstheme="majorHAnsi"/>
          <w:sz w:val="24"/>
          <w:szCs w:val="24"/>
        </w:rPr>
        <w:t xml:space="preserve">priorities for </w:t>
      </w:r>
      <w:r>
        <w:rPr>
          <w:rFonts w:ascii="Aptos" w:hAnsi="Aptos" w:cstheme="majorHAnsi"/>
          <w:sz w:val="24"/>
          <w:szCs w:val="24"/>
        </w:rPr>
        <w:t xml:space="preserve">a </w:t>
      </w:r>
      <w:r w:rsidRPr="00BB1EB4">
        <w:rPr>
          <w:rFonts w:ascii="Aptos" w:hAnsi="Aptos" w:cstheme="majorHAnsi"/>
          <w:sz w:val="24"/>
          <w:szCs w:val="24"/>
        </w:rPr>
        <w:t>Europe</w:t>
      </w:r>
      <w:r>
        <w:rPr>
          <w:rFonts w:ascii="Aptos" w:hAnsi="Aptos" w:cstheme="majorHAnsi"/>
          <w:sz w:val="24"/>
          <w:szCs w:val="24"/>
        </w:rPr>
        <w:t xml:space="preserve">an </w:t>
      </w:r>
      <w:r w:rsidRPr="00BB1EB4">
        <w:rPr>
          <w:rFonts w:ascii="Aptos" w:hAnsi="Aptos" w:cstheme="majorHAnsi"/>
          <w:sz w:val="24"/>
          <w:szCs w:val="24"/>
        </w:rPr>
        <w:t xml:space="preserve">Electronics Manufacturing </w:t>
      </w:r>
      <w:r>
        <w:rPr>
          <w:rFonts w:ascii="Aptos" w:hAnsi="Aptos" w:cstheme="majorHAnsi"/>
          <w:sz w:val="24"/>
          <w:szCs w:val="24"/>
        </w:rPr>
        <w:t>S</w:t>
      </w:r>
      <w:r w:rsidRPr="00BB1EB4">
        <w:rPr>
          <w:rFonts w:ascii="Aptos" w:hAnsi="Aptos" w:cstheme="majorHAnsi"/>
          <w:sz w:val="24"/>
          <w:szCs w:val="24"/>
        </w:rPr>
        <w:t>trategy</w:t>
      </w:r>
      <w:r w:rsidR="006F44C3">
        <w:rPr>
          <w:rFonts w:ascii="Aptos" w:hAnsi="Aptos" w:cstheme="majorHAnsi"/>
          <w:sz w:val="24"/>
          <w:szCs w:val="24"/>
        </w:rPr>
        <w:t xml:space="preserve">, including a </w:t>
      </w:r>
      <w:r w:rsidR="006F44C3" w:rsidRPr="006F44C3">
        <w:rPr>
          <w:rFonts w:ascii="Aptos" w:hAnsi="Aptos" w:cstheme="majorHAnsi"/>
          <w:sz w:val="24"/>
          <w:szCs w:val="24"/>
        </w:rPr>
        <w:t>European Minimum Autonomy Threshold as a me</w:t>
      </w:r>
      <w:r w:rsidR="006F44C3">
        <w:rPr>
          <w:rFonts w:ascii="Aptos" w:hAnsi="Aptos" w:cstheme="majorHAnsi"/>
          <w:sz w:val="24"/>
          <w:szCs w:val="24"/>
        </w:rPr>
        <w:t xml:space="preserve">chanism </w:t>
      </w:r>
      <w:r w:rsidR="006F44C3" w:rsidRPr="006F44C3">
        <w:rPr>
          <w:rFonts w:ascii="Aptos" w:hAnsi="Aptos" w:cstheme="majorHAnsi"/>
          <w:sz w:val="24"/>
          <w:szCs w:val="24"/>
        </w:rPr>
        <w:t>to measure and achieve these objectives</w:t>
      </w:r>
      <w:r w:rsidR="006F44C3">
        <w:rPr>
          <w:rFonts w:ascii="Aptos" w:hAnsi="Aptos" w:cstheme="majorHAnsi"/>
          <w:sz w:val="24"/>
          <w:szCs w:val="24"/>
        </w:rPr>
        <w:t>.</w:t>
      </w:r>
    </w:p>
    <w:p w14:paraId="3E4517D4" w14:textId="43D2B954" w:rsidR="006F44C3" w:rsidRPr="006F44C3" w:rsidRDefault="006F44C3" w:rsidP="006F44C3">
      <w:pPr>
        <w:pStyle w:val="ListParagraph"/>
        <w:numPr>
          <w:ilvl w:val="0"/>
          <w:numId w:val="12"/>
        </w:numP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W</w:t>
      </w:r>
      <w:r w:rsidRPr="006F44C3">
        <w:rPr>
          <w:rFonts w:ascii="Aptos" w:hAnsi="Aptos" w:cstheme="majorHAnsi"/>
          <w:sz w:val="24"/>
          <w:szCs w:val="24"/>
        </w:rPr>
        <w:t>e call on the European Commission to introduce a European Strategic Electronics Manufacturing Act</w:t>
      </w:r>
      <w:r>
        <w:rPr>
          <w:rFonts w:ascii="Aptos" w:hAnsi="Aptos" w:cstheme="majorHAnsi"/>
          <w:sz w:val="24"/>
          <w:szCs w:val="24"/>
        </w:rPr>
        <w:t xml:space="preserve"> (</w:t>
      </w:r>
      <w:r w:rsidRPr="006F44C3">
        <w:rPr>
          <w:rFonts w:ascii="Aptos" w:hAnsi="Aptos" w:cstheme="majorHAnsi"/>
          <w:sz w:val="24"/>
          <w:szCs w:val="24"/>
        </w:rPr>
        <w:t>SEMA</w:t>
      </w:r>
      <w:r>
        <w:rPr>
          <w:rFonts w:ascii="Aptos" w:hAnsi="Aptos" w:cstheme="majorHAnsi"/>
          <w:sz w:val="24"/>
          <w:szCs w:val="24"/>
        </w:rPr>
        <w:t>)</w:t>
      </w:r>
      <w:r w:rsidR="003C7CB4">
        <w:rPr>
          <w:rFonts w:ascii="Aptos" w:hAnsi="Aptos" w:cstheme="majorHAnsi"/>
          <w:sz w:val="24"/>
          <w:szCs w:val="24"/>
        </w:rPr>
        <w:t xml:space="preserve"> or Chips Act +</w:t>
      </w:r>
      <w:r>
        <w:rPr>
          <w:rFonts w:ascii="Aptos" w:hAnsi="Aptos" w:cstheme="majorHAnsi"/>
          <w:sz w:val="24"/>
          <w:szCs w:val="24"/>
        </w:rPr>
        <w:t xml:space="preserve">, aiming to </w:t>
      </w:r>
      <w:r w:rsidRPr="006F44C3">
        <w:rPr>
          <w:rFonts w:ascii="Aptos" w:hAnsi="Aptos" w:cstheme="majorHAnsi"/>
          <w:sz w:val="24"/>
          <w:szCs w:val="24"/>
        </w:rPr>
        <w:t>strengthen the electronics value chain from chip and component manufacturing to finished products and devices</w:t>
      </w:r>
      <w:r w:rsidR="003C7CB4">
        <w:rPr>
          <w:rFonts w:ascii="Aptos" w:hAnsi="Aptos" w:cstheme="majorHAnsi"/>
          <w:sz w:val="24"/>
          <w:szCs w:val="24"/>
        </w:rPr>
        <w:t xml:space="preserve"> for critical industries</w:t>
      </w:r>
      <w:r w:rsidRPr="006F44C3">
        <w:rPr>
          <w:rFonts w:ascii="Aptos" w:hAnsi="Aptos" w:cstheme="majorHAnsi"/>
          <w:sz w:val="24"/>
          <w:szCs w:val="24"/>
        </w:rPr>
        <w:t>.</w:t>
      </w:r>
    </w:p>
    <w:p w14:paraId="784866BE" w14:textId="77777777" w:rsidR="00BB1EB4" w:rsidRPr="00D843B3" w:rsidRDefault="00BB1EB4" w:rsidP="00493AF1">
      <w:pPr>
        <w:rPr>
          <w:rFonts w:ascii="Aptos" w:hAnsi="Aptos"/>
          <w:sz w:val="24"/>
          <w:szCs w:val="24"/>
        </w:rPr>
      </w:pPr>
    </w:p>
    <w:p w14:paraId="617D0147" w14:textId="77777777" w:rsidR="002A0DA4" w:rsidRDefault="002A0DA4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548BB325" w14:textId="14F3A13B" w:rsidR="006F44C3" w:rsidRDefault="006F44C3" w:rsidP="006F44C3">
      <w:pPr>
        <w:rPr>
          <w:rFonts w:ascii="Aptos" w:hAnsi="Aptos"/>
          <w:b/>
          <w:bCs/>
          <w:sz w:val="24"/>
          <w:szCs w:val="24"/>
        </w:rPr>
      </w:pPr>
      <w:r w:rsidRPr="006F44C3">
        <w:rPr>
          <w:rFonts w:ascii="Aptos" w:hAnsi="Aptos"/>
          <w:b/>
          <w:bCs/>
          <w:sz w:val="24"/>
          <w:szCs w:val="24"/>
        </w:rPr>
        <w:lastRenderedPageBreak/>
        <w:t>Level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6F44C3">
        <w:rPr>
          <w:rFonts w:ascii="Aptos" w:hAnsi="Aptos"/>
          <w:b/>
          <w:bCs/>
          <w:sz w:val="24"/>
          <w:szCs w:val="24"/>
        </w:rPr>
        <w:t xml:space="preserve">the </w:t>
      </w:r>
      <w:r>
        <w:rPr>
          <w:rFonts w:ascii="Aptos" w:hAnsi="Aptos"/>
          <w:b/>
          <w:bCs/>
          <w:sz w:val="24"/>
          <w:szCs w:val="24"/>
        </w:rPr>
        <w:t>P</w:t>
      </w:r>
      <w:r w:rsidRPr="006F44C3">
        <w:rPr>
          <w:rFonts w:ascii="Aptos" w:hAnsi="Aptos"/>
          <w:b/>
          <w:bCs/>
          <w:sz w:val="24"/>
          <w:szCs w:val="24"/>
        </w:rPr>
        <w:t xml:space="preserve">laying </w:t>
      </w:r>
      <w:r>
        <w:rPr>
          <w:rFonts w:ascii="Aptos" w:hAnsi="Aptos"/>
          <w:b/>
          <w:bCs/>
          <w:sz w:val="24"/>
          <w:szCs w:val="24"/>
        </w:rPr>
        <w:t>F</w:t>
      </w:r>
      <w:r w:rsidRPr="006F44C3">
        <w:rPr>
          <w:rFonts w:ascii="Aptos" w:hAnsi="Aptos"/>
          <w:b/>
          <w:bCs/>
          <w:sz w:val="24"/>
          <w:szCs w:val="24"/>
        </w:rPr>
        <w:t xml:space="preserve">ield through </w:t>
      </w:r>
      <w:r>
        <w:rPr>
          <w:rFonts w:ascii="Aptos" w:hAnsi="Aptos"/>
          <w:b/>
          <w:bCs/>
          <w:sz w:val="24"/>
          <w:szCs w:val="24"/>
        </w:rPr>
        <w:t>R</w:t>
      </w:r>
      <w:r w:rsidRPr="006F44C3">
        <w:rPr>
          <w:rFonts w:ascii="Aptos" w:hAnsi="Aptos"/>
          <w:b/>
          <w:bCs/>
          <w:sz w:val="24"/>
          <w:szCs w:val="24"/>
        </w:rPr>
        <w:t xml:space="preserve">egulatory and </w:t>
      </w:r>
      <w:r>
        <w:rPr>
          <w:rFonts w:ascii="Aptos" w:hAnsi="Aptos"/>
          <w:b/>
          <w:bCs/>
          <w:sz w:val="24"/>
          <w:szCs w:val="24"/>
        </w:rPr>
        <w:t>T</w:t>
      </w:r>
      <w:r w:rsidRPr="006F44C3">
        <w:rPr>
          <w:rFonts w:ascii="Aptos" w:hAnsi="Aptos"/>
          <w:b/>
          <w:bCs/>
          <w:sz w:val="24"/>
          <w:szCs w:val="24"/>
        </w:rPr>
        <w:t xml:space="preserve">ax </w:t>
      </w:r>
      <w:r>
        <w:rPr>
          <w:rFonts w:ascii="Aptos" w:hAnsi="Aptos"/>
          <w:b/>
          <w:bCs/>
          <w:sz w:val="24"/>
          <w:szCs w:val="24"/>
        </w:rPr>
        <w:t xml:space="preserve">Changes </w:t>
      </w:r>
    </w:p>
    <w:p w14:paraId="52DD8C04" w14:textId="375FD78E" w:rsidR="006F44C3" w:rsidRDefault="006F44C3" w:rsidP="006F44C3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We </w:t>
      </w:r>
      <w:r w:rsidRPr="006F44C3">
        <w:rPr>
          <w:rFonts w:ascii="Aptos" w:hAnsi="Aptos"/>
          <w:sz w:val="24"/>
          <w:szCs w:val="24"/>
        </w:rPr>
        <w:t xml:space="preserve">call on the European Commission to work with Member States to </w:t>
      </w:r>
      <w:r>
        <w:rPr>
          <w:rFonts w:ascii="Aptos" w:hAnsi="Aptos"/>
          <w:sz w:val="24"/>
          <w:szCs w:val="24"/>
        </w:rPr>
        <w:t>suspend d</w:t>
      </w:r>
      <w:r w:rsidRPr="006F44C3">
        <w:rPr>
          <w:rFonts w:ascii="Aptos" w:hAnsi="Aptos"/>
          <w:sz w:val="24"/>
          <w:szCs w:val="24"/>
        </w:rPr>
        <w:t>ut</w:t>
      </w:r>
      <w:r>
        <w:rPr>
          <w:rFonts w:ascii="Aptos" w:hAnsi="Aptos"/>
          <w:sz w:val="24"/>
          <w:szCs w:val="24"/>
        </w:rPr>
        <w:t xml:space="preserve">ies </w:t>
      </w:r>
      <w:r w:rsidRPr="006F44C3">
        <w:rPr>
          <w:rFonts w:ascii="Aptos" w:hAnsi="Aptos"/>
          <w:sz w:val="24"/>
          <w:szCs w:val="24"/>
        </w:rPr>
        <w:t xml:space="preserve">on </w:t>
      </w:r>
      <w:r>
        <w:rPr>
          <w:rFonts w:ascii="Aptos" w:hAnsi="Aptos"/>
          <w:sz w:val="24"/>
          <w:szCs w:val="24"/>
        </w:rPr>
        <w:t>ba</w:t>
      </w:r>
      <w:r w:rsidRPr="006F44C3">
        <w:rPr>
          <w:rFonts w:ascii="Aptos" w:hAnsi="Aptos"/>
          <w:sz w:val="24"/>
          <w:szCs w:val="24"/>
        </w:rPr>
        <w:t xml:space="preserve">se materials </w:t>
      </w:r>
      <w:r>
        <w:rPr>
          <w:rFonts w:ascii="Aptos" w:hAnsi="Aptos"/>
          <w:sz w:val="24"/>
          <w:szCs w:val="24"/>
        </w:rPr>
        <w:t xml:space="preserve">imported for </w:t>
      </w:r>
      <w:r w:rsidRPr="006F44C3">
        <w:rPr>
          <w:rFonts w:ascii="Aptos" w:hAnsi="Aptos"/>
          <w:sz w:val="24"/>
          <w:szCs w:val="24"/>
        </w:rPr>
        <w:t xml:space="preserve">electronics manufacturing. The European production of these materials is insufficient to meet demand, </w:t>
      </w:r>
      <w:r>
        <w:rPr>
          <w:rFonts w:ascii="Aptos" w:hAnsi="Aptos"/>
          <w:sz w:val="24"/>
          <w:szCs w:val="24"/>
        </w:rPr>
        <w:t xml:space="preserve">and import </w:t>
      </w:r>
      <w:r w:rsidRPr="006F44C3">
        <w:rPr>
          <w:rFonts w:ascii="Aptos" w:hAnsi="Aptos"/>
          <w:sz w:val="24"/>
          <w:szCs w:val="24"/>
        </w:rPr>
        <w:t>duties undercut the competitiveness of European manufacturers.</w:t>
      </w:r>
    </w:p>
    <w:p w14:paraId="2BFF57CC" w14:textId="5A90F263" w:rsidR="006F44C3" w:rsidRDefault="006F44C3" w:rsidP="006F44C3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We support the effort to reduce regulatory </w:t>
      </w:r>
      <w:r w:rsidRPr="006F44C3">
        <w:rPr>
          <w:rFonts w:ascii="Aptos" w:hAnsi="Aptos"/>
          <w:sz w:val="24"/>
          <w:szCs w:val="24"/>
        </w:rPr>
        <w:t>burden</w:t>
      </w:r>
      <w:r>
        <w:rPr>
          <w:rFonts w:ascii="Aptos" w:hAnsi="Aptos"/>
          <w:sz w:val="24"/>
          <w:szCs w:val="24"/>
        </w:rPr>
        <w:t>s, including a 2</w:t>
      </w:r>
      <w:r w:rsidRPr="006F44C3">
        <w:rPr>
          <w:rFonts w:ascii="Aptos" w:hAnsi="Aptos"/>
          <w:sz w:val="24"/>
          <w:szCs w:val="24"/>
        </w:rPr>
        <w:t xml:space="preserve">5% reduction in reporting </w:t>
      </w:r>
      <w:r>
        <w:rPr>
          <w:rFonts w:ascii="Aptos" w:hAnsi="Aptos"/>
          <w:sz w:val="24"/>
          <w:szCs w:val="24"/>
        </w:rPr>
        <w:t xml:space="preserve">requirements. </w:t>
      </w:r>
    </w:p>
    <w:p w14:paraId="404CBBBC" w14:textId="0CDB60E0" w:rsidR="006F44C3" w:rsidRDefault="006F44C3" w:rsidP="006F44C3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6F44C3">
        <w:rPr>
          <w:rFonts w:ascii="Aptos" w:hAnsi="Aptos"/>
          <w:sz w:val="24"/>
          <w:szCs w:val="24"/>
        </w:rPr>
        <w:t>For new rules and regulations, a competitiveness check should apply while using robust data and scientific evidence for effective policymaking.</w:t>
      </w:r>
    </w:p>
    <w:p w14:paraId="0597835D" w14:textId="111A0F03" w:rsidR="006F44C3" w:rsidRDefault="006F44C3" w:rsidP="006F44C3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6F44C3">
        <w:rPr>
          <w:rFonts w:ascii="Aptos" w:hAnsi="Aptos"/>
          <w:sz w:val="24"/>
          <w:szCs w:val="24"/>
        </w:rPr>
        <w:t xml:space="preserve">For environmental </w:t>
      </w:r>
      <w:r>
        <w:rPr>
          <w:rFonts w:ascii="Aptos" w:hAnsi="Aptos"/>
          <w:sz w:val="24"/>
          <w:szCs w:val="24"/>
        </w:rPr>
        <w:t xml:space="preserve">regulations, </w:t>
      </w:r>
      <w:r w:rsidRPr="006F44C3">
        <w:rPr>
          <w:rFonts w:ascii="Aptos" w:hAnsi="Aptos"/>
          <w:sz w:val="24"/>
          <w:szCs w:val="24"/>
        </w:rPr>
        <w:t>avoid blanket bans of necessary chemical</w:t>
      </w:r>
      <w:r>
        <w:rPr>
          <w:rFonts w:ascii="Aptos" w:hAnsi="Aptos"/>
          <w:sz w:val="24"/>
          <w:szCs w:val="24"/>
        </w:rPr>
        <w:t xml:space="preserve">s </w:t>
      </w:r>
      <w:r w:rsidRPr="006F44C3">
        <w:rPr>
          <w:rFonts w:ascii="Aptos" w:hAnsi="Aptos"/>
          <w:sz w:val="24"/>
          <w:szCs w:val="24"/>
        </w:rPr>
        <w:t xml:space="preserve">and materials needed for strategic uses. </w:t>
      </w:r>
      <w:r>
        <w:rPr>
          <w:rFonts w:ascii="Aptos" w:hAnsi="Aptos"/>
          <w:sz w:val="24"/>
          <w:szCs w:val="24"/>
        </w:rPr>
        <w:t>The EC should p</w:t>
      </w:r>
      <w:r w:rsidRPr="006F44C3">
        <w:rPr>
          <w:rFonts w:ascii="Aptos" w:hAnsi="Aptos"/>
          <w:sz w:val="24"/>
          <w:szCs w:val="24"/>
        </w:rPr>
        <w:t xml:space="preserve">rovide sufficient time and funding for the innovation needed to </w:t>
      </w:r>
      <w:r>
        <w:rPr>
          <w:rFonts w:ascii="Aptos" w:hAnsi="Aptos"/>
          <w:sz w:val="24"/>
          <w:szCs w:val="24"/>
        </w:rPr>
        <w:t>d</w:t>
      </w:r>
      <w:r w:rsidRPr="006F44C3">
        <w:rPr>
          <w:rFonts w:ascii="Aptos" w:hAnsi="Aptos"/>
          <w:sz w:val="24"/>
          <w:szCs w:val="24"/>
        </w:rPr>
        <w:t>evelop greener processes.</w:t>
      </w:r>
    </w:p>
    <w:p w14:paraId="09A64C55" w14:textId="2112A52F" w:rsidR="006F44C3" w:rsidRPr="006F44C3" w:rsidRDefault="006F44C3" w:rsidP="006F44C3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Pr="006F44C3">
        <w:rPr>
          <w:rFonts w:ascii="Aptos" w:hAnsi="Aptos"/>
          <w:sz w:val="24"/>
          <w:szCs w:val="24"/>
        </w:rPr>
        <w:t xml:space="preserve">t is important to level the international playing field by increasing the availability of </w:t>
      </w:r>
      <w:r>
        <w:rPr>
          <w:rFonts w:ascii="Aptos" w:hAnsi="Aptos"/>
          <w:sz w:val="24"/>
          <w:szCs w:val="24"/>
        </w:rPr>
        <w:t>cost-</w:t>
      </w:r>
      <w:r w:rsidRPr="006F44C3">
        <w:rPr>
          <w:rFonts w:ascii="Aptos" w:hAnsi="Aptos"/>
          <w:sz w:val="24"/>
          <w:szCs w:val="24"/>
        </w:rPr>
        <w:t xml:space="preserve">competitive energy </w:t>
      </w:r>
      <w:r>
        <w:rPr>
          <w:rFonts w:ascii="Aptos" w:hAnsi="Aptos"/>
          <w:sz w:val="24"/>
          <w:szCs w:val="24"/>
        </w:rPr>
        <w:t xml:space="preserve">supplies. </w:t>
      </w:r>
    </w:p>
    <w:p w14:paraId="307C35B3" w14:textId="38A2A2C4" w:rsidR="006F44C3" w:rsidRDefault="006F44C3" w:rsidP="006F44C3">
      <w:pPr>
        <w:rPr>
          <w:rFonts w:ascii="Aptos" w:hAnsi="Aptos"/>
          <w:b/>
          <w:bCs/>
          <w:sz w:val="24"/>
          <w:szCs w:val="24"/>
        </w:rPr>
      </w:pPr>
    </w:p>
    <w:p w14:paraId="28E9304D" w14:textId="4F1A2828" w:rsidR="006F44C3" w:rsidRDefault="00C06348" w:rsidP="006F44C3">
      <w:pPr>
        <w:rPr>
          <w:rFonts w:ascii="Aptos" w:hAnsi="Aptos"/>
          <w:b/>
          <w:bCs/>
          <w:sz w:val="24"/>
          <w:szCs w:val="24"/>
        </w:rPr>
      </w:pPr>
      <w:r w:rsidRPr="00C06348">
        <w:rPr>
          <w:rFonts w:ascii="Aptos" w:hAnsi="Aptos"/>
          <w:b/>
          <w:bCs/>
          <w:sz w:val="24"/>
          <w:szCs w:val="24"/>
        </w:rPr>
        <w:t xml:space="preserve">Collaborate for a </w:t>
      </w:r>
      <w:r>
        <w:rPr>
          <w:rFonts w:ascii="Aptos" w:hAnsi="Aptos"/>
          <w:b/>
          <w:bCs/>
          <w:sz w:val="24"/>
          <w:szCs w:val="24"/>
        </w:rPr>
        <w:t>F</w:t>
      </w:r>
      <w:r w:rsidRPr="00C06348">
        <w:rPr>
          <w:rFonts w:ascii="Aptos" w:hAnsi="Aptos"/>
          <w:b/>
          <w:bCs/>
          <w:sz w:val="24"/>
          <w:szCs w:val="24"/>
        </w:rPr>
        <w:t>uture-</w:t>
      </w:r>
      <w:r>
        <w:rPr>
          <w:rFonts w:ascii="Aptos" w:hAnsi="Aptos"/>
          <w:b/>
          <w:bCs/>
          <w:sz w:val="24"/>
          <w:szCs w:val="24"/>
        </w:rPr>
        <w:t>P</w:t>
      </w:r>
      <w:r w:rsidRPr="00C06348">
        <w:rPr>
          <w:rFonts w:ascii="Aptos" w:hAnsi="Aptos"/>
          <w:b/>
          <w:bCs/>
          <w:sz w:val="24"/>
          <w:szCs w:val="24"/>
        </w:rPr>
        <w:t xml:space="preserve">roof </w:t>
      </w:r>
      <w:r>
        <w:rPr>
          <w:rFonts w:ascii="Aptos" w:hAnsi="Aptos"/>
          <w:b/>
          <w:bCs/>
          <w:sz w:val="24"/>
          <w:szCs w:val="24"/>
        </w:rPr>
        <w:t>S</w:t>
      </w:r>
      <w:r w:rsidRPr="00C06348">
        <w:rPr>
          <w:rFonts w:ascii="Aptos" w:hAnsi="Aptos"/>
          <w:b/>
          <w:bCs/>
          <w:sz w:val="24"/>
          <w:szCs w:val="24"/>
        </w:rPr>
        <w:t xml:space="preserve">killed </w:t>
      </w:r>
      <w:r>
        <w:rPr>
          <w:rFonts w:ascii="Aptos" w:hAnsi="Aptos"/>
          <w:b/>
          <w:bCs/>
          <w:sz w:val="24"/>
          <w:szCs w:val="24"/>
        </w:rPr>
        <w:t>W</w:t>
      </w:r>
      <w:r w:rsidRPr="00C06348">
        <w:rPr>
          <w:rFonts w:ascii="Aptos" w:hAnsi="Aptos"/>
          <w:b/>
          <w:bCs/>
          <w:sz w:val="24"/>
          <w:szCs w:val="24"/>
        </w:rPr>
        <w:t>orkforce</w:t>
      </w:r>
    </w:p>
    <w:p w14:paraId="17C63FBB" w14:textId="49FD8931" w:rsidR="00C06348" w:rsidRDefault="006F44C3" w:rsidP="00C06348">
      <w:pPr>
        <w:pStyle w:val="ListParagraph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C06348">
        <w:rPr>
          <w:rFonts w:ascii="Aptos" w:hAnsi="Aptos"/>
          <w:sz w:val="24"/>
          <w:szCs w:val="24"/>
        </w:rPr>
        <w:t xml:space="preserve">The industry </w:t>
      </w:r>
      <w:r w:rsidR="00C06348">
        <w:rPr>
          <w:rFonts w:ascii="Aptos" w:hAnsi="Aptos"/>
          <w:sz w:val="24"/>
          <w:szCs w:val="24"/>
        </w:rPr>
        <w:t xml:space="preserve">applauds </w:t>
      </w:r>
      <w:r w:rsidRPr="00C06348">
        <w:rPr>
          <w:rFonts w:ascii="Aptos" w:hAnsi="Aptos"/>
          <w:sz w:val="24"/>
          <w:szCs w:val="24"/>
        </w:rPr>
        <w:t>the work already underway to address Europe’s skill</w:t>
      </w:r>
      <w:r w:rsidR="00C06348">
        <w:rPr>
          <w:rFonts w:ascii="Aptos" w:hAnsi="Aptos"/>
          <w:sz w:val="24"/>
          <w:szCs w:val="24"/>
        </w:rPr>
        <w:t xml:space="preserve">s </w:t>
      </w:r>
      <w:r w:rsidRPr="00C06348">
        <w:rPr>
          <w:rFonts w:ascii="Aptos" w:hAnsi="Aptos"/>
          <w:sz w:val="24"/>
          <w:szCs w:val="24"/>
        </w:rPr>
        <w:t>gap</w:t>
      </w:r>
      <w:r w:rsidR="00C06348">
        <w:rPr>
          <w:rFonts w:ascii="Aptos" w:hAnsi="Aptos"/>
          <w:sz w:val="24"/>
          <w:szCs w:val="24"/>
        </w:rPr>
        <w:t>,</w:t>
      </w:r>
      <w:r w:rsidRPr="00C06348">
        <w:rPr>
          <w:rFonts w:ascii="Aptos" w:hAnsi="Aptos"/>
          <w:sz w:val="24"/>
          <w:szCs w:val="24"/>
        </w:rPr>
        <w:t xml:space="preserve"> </w:t>
      </w:r>
      <w:r w:rsidR="00C06348">
        <w:rPr>
          <w:rFonts w:ascii="Aptos" w:hAnsi="Aptos"/>
          <w:sz w:val="24"/>
          <w:szCs w:val="24"/>
        </w:rPr>
        <w:t xml:space="preserve">and we call for more </w:t>
      </w:r>
      <w:r w:rsidRPr="00C06348">
        <w:rPr>
          <w:rFonts w:ascii="Aptos" w:hAnsi="Aptos"/>
          <w:sz w:val="24"/>
          <w:szCs w:val="24"/>
        </w:rPr>
        <w:t>funding and coordination across Member States to</w:t>
      </w:r>
      <w:r w:rsidR="00C06348">
        <w:rPr>
          <w:rFonts w:ascii="Aptos" w:hAnsi="Aptos"/>
          <w:sz w:val="24"/>
          <w:szCs w:val="24"/>
        </w:rPr>
        <w:t xml:space="preserve">: </w:t>
      </w:r>
      <w:r w:rsidRPr="00C06348">
        <w:rPr>
          <w:rFonts w:ascii="Aptos" w:hAnsi="Aptos"/>
          <w:sz w:val="24"/>
          <w:szCs w:val="24"/>
        </w:rPr>
        <w:t xml:space="preserve"> </w:t>
      </w:r>
    </w:p>
    <w:p w14:paraId="555BB090" w14:textId="6D4514D7" w:rsidR="00C06348" w:rsidRDefault="006F44C3" w:rsidP="00D26DE0">
      <w:pPr>
        <w:pStyle w:val="ListParagraph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C06348">
        <w:rPr>
          <w:rFonts w:ascii="Aptos" w:hAnsi="Aptos"/>
          <w:sz w:val="24"/>
          <w:szCs w:val="24"/>
        </w:rPr>
        <w:t xml:space="preserve">Increase the visibility and attractiveness of electronics manufacturing through new education </w:t>
      </w:r>
      <w:proofErr w:type="spellStart"/>
      <w:r w:rsidRPr="00C06348">
        <w:rPr>
          <w:rFonts w:ascii="Aptos" w:hAnsi="Aptos"/>
          <w:sz w:val="24"/>
          <w:szCs w:val="24"/>
        </w:rPr>
        <w:t>programmes</w:t>
      </w:r>
      <w:proofErr w:type="spellEnd"/>
      <w:r w:rsidRPr="00C06348">
        <w:rPr>
          <w:rFonts w:ascii="Aptos" w:hAnsi="Aptos"/>
          <w:sz w:val="24"/>
          <w:szCs w:val="24"/>
        </w:rPr>
        <w:t xml:space="preserve"> and apprenticeship opportunities</w:t>
      </w:r>
      <w:r w:rsidR="00C06348">
        <w:rPr>
          <w:rFonts w:ascii="Aptos" w:hAnsi="Aptos"/>
          <w:sz w:val="24"/>
          <w:szCs w:val="24"/>
        </w:rPr>
        <w:t xml:space="preserve">. </w:t>
      </w:r>
      <w:r w:rsidRPr="00C06348">
        <w:rPr>
          <w:rFonts w:ascii="Aptos" w:hAnsi="Aptos"/>
          <w:sz w:val="24"/>
          <w:szCs w:val="24"/>
        </w:rPr>
        <w:t xml:space="preserve"> </w:t>
      </w:r>
    </w:p>
    <w:p w14:paraId="25B16D3C" w14:textId="7BE19AF2" w:rsidR="006F44C3" w:rsidRPr="00C06348" w:rsidRDefault="006F44C3" w:rsidP="00D26DE0">
      <w:pPr>
        <w:pStyle w:val="ListParagraph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C06348">
        <w:rPr>
          <w:rFonts w:ascii="Aptos" w:hAnsi="Aptos"/>
          <w:sz w:val="24"/>
          <w:szCs w:val="24"/>
        </w:rPr>
        <w:t>Support the industry’s efforts to build lifelong training</w:t>
      </w:r>
      <w:r w:rsidR="00C06348">
        <w:rPr>
          <w:rFonts w:ascii="Aptos" w:hAnsi="Aptos"/>
          <w:sz w:val="24"/>
          <w:szCs w:val="24"/>
        </w:rPr>
        <w:t xml:space="preserve"> </w:t>
      </w:r>
      <w:r w:rsidRPr="00C06348">
        <w:rPr>
          <w:rFonts w:ascii="Aptos" w:hAnsi="Aptos"/>
          <w:sz w:val="24"/>
          <w:szCs w:val="24"/>
        </w:rPr>
        <w:t>of the workforce to provide clear career pathways and lower worker turnover</w:t>
      </w:r>
      <w:r w:rsidR="00C06348">
        <w:rPr>
          <w:rFonts w:ascii="Aptos" w:hAnsi="Aptos"/>
          <w:sz w:val="24"/>
          <w:szCs w:val="24"/>
        </w:rPr>
        <w:t xml:space="preserve">. </w:t>
      </w:r>
    </w:p>
    <w:p w14:paraId="02EA66A7" w14:textId="5E22C75D" w:rsidR="00D843B3" w:rsidRPr="00C06348" w:rsidRDefault="006F44C3" w:rsidP="00C06348">
      <w:pPr>
        <w:rPr>
          <w:rFonts w:ascii="Aptos" w:hAnsi="Aptos" w:cstheme="majorHAnsi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/>
      </w:r>
      <w:r w:rsidR="00D843B3" w:rsidRPr="00D843B3">
        <w:rPr>
          <w:rFonts w:ascii="Aptos" w:hAnsi="Aptos"/>
          <w:b/>
          <w:bCs/>
          <w:sz w:val="24"/>
          <w:szCs w:val="24"/>
        </w:rPr>
        <w:t xml:space="preserve">Reduce or Remove </w:t>
      </w:r>
      <w:r w:rsidR="00D843B3">
        <w:rPr>
          <w:rFonts w:ascii="Aptos" w:hAnsi="Aptos"/>
          <w:b/>
          <w:bCs/>
          <w:sz w:val="24"/>
          <w:szCs w:val="24"/>
        </w:rPr>
        <w:t xml:space="preserve">Trade </w:t>
      </w:r>
      <w:r w:rsidR="00D843B3" w:rsidRPr="00D843B3">
        <w:rPr>
          <w:rFonts w:ascii="Aptos" w:hAnsi="Aptos"/>
          <w:b/>
          <w:bCs/>
          <w:sz w:val="24"/>
          <w:szCs w:val="24"/>
        </w:rPr>
        <w:t>Barriers While We Rebuild</w:t>
      </w:r>
    </w:p>
    <w:p w14:paraId="7570C884" w14:textId="46BFAD29" w:rsidR="00D843B3" w:rsidRDefault="00D843B3" w:rsidP="00493AF1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Work </w:t>
      </w:r>
      <w:r w:rsidR="00D26DE0">
        <w:rPr>
          <w:rFonts w:ascii="Aptos" w:hAnsi="Aptos"/>
          <w:sz w:val="24"/>
          <w:szCs w:val="24"/>
        </w:rPr>
        <w:t xml:space="preserve">with all nations </w:t>
      </w:r>
      <w:r>
        <w:rPr>
          <w:rFonts w:ascii="Aptos" w:hAnsi="Aptos"/>
          <w:sz w:val="24"/>
          <w:szCs w:val="24"/>
        </w:rPr>
        <w:t>to reduce or eliminate tariffs</w:t>
      </w:r>
      <w:r w:rsidR="00380EBF">
        <w:rPr>
          <w:rFonts w:ascii="Aptos" w:hAnsi="Aptos"/>
          <w:sz w:val="24"/>
          <w:szCs w:val="24"/>
        </w:rPr>
        <w:t xml:space="preserve">, </w:t>
      </w:r>
      <w:r w:rsidR="00380EBF" w:rsidRPr="00380EBF">
        <w:rPr>
          <w:rFonts w:ascii="Aptos" w:hAnsi="Aptos"/>
          <w:sz w:val="24"/>
          <w:szCs w:val="24"/>
        </w:rPr>
        <w:t>which tend to negatively impact electronics manufacturers</w:t>
      </w:r>
      <w:r w:rsidR="00380EBF">
        <w:rPr>
          <w:rFonts w:ascii="Aptos" w:hAnsi="Aptos"/>
          <w:sz w:val="24"/>
          <w:szCs w:val="24"/>
        </w:rPr>
        <w:t>,</w:t>
      </w:r>
      <w:r>
        <w:rPr>
          <w:rFonts w:ascii="Aptos" w:hAnsi="Aptos"/>
          <w:sz w:val="24"/>
          <w:szCs w:val="24"/>
        </w:rPr>
        <w:t xml:space="preserve"> through bilateral and multilateral trade deals. </w:t>
      </w:r>
    </w:p>
    <w:p w14:paraId="50A3E02E" w14:textId="0E3D7EB5" w:rsidR="00D843B3" w:rsidRDefault="00CD0082" w:rsidP="00493AF1">
      <w:pPr>
        <w:jc w:val="both"/>
        <w:rPr>
          <w:rFonts w:asciiTheme="majorHAnsi" w:hAnsiTheme="majorHAnsi" w:cstheme="majorHAnsi"/>
          <w:sz w:val="24"/>
          <w:szCs w:val="24"/>
        </w:rPr>
      </w:pPr>
      <w:r w:rsidRPr="008E5B7B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22F26" wp14:editId="44009C4D">
                <wp:simplePos x="0" y="0"/>
                <wp:positionH relativeFrom="column">
                  <wp:posOffset>-67945</wp:posOffset>
                </wp:positionH>
                <wp:positionV relativeFrom="paragraph">
                  <wp:posOffset>377190</wp:posOffset>
                </wp:positionV>
                <wp:extent cx="6197600" cy="2030095"/>
                <wp:effectExtent l="0" t="0" r="1270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203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58610" w14:textId="617C516B" w:rsidR="00380EBF" w:rsidRPr="0071032A" w:rsidRDefault="00380EBF" w:rsidP="00380E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032A">
                              <w:rPr>
                                <w:b/>
                                <w:bCs/>
                              </w:rPr>
                              <w:t xml:space="preserve">Fast Facts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on </w:t>
                            </w:r>
                            <w:r w:rsidR="00BB1EB4">
                              <w:rPr>
                                <w:b/>
                                <w:bCs/>
                              </w:rPr>
                              <w:t xml:space="preserve">EU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Electronics </w:t>
                            </w:r>
                          </w:p>
                          <w:p w14:paraId="114D6163" w14:textId="1A512E11" w:rsidR="00380EBF" w:rsidRPr="00CD0082" w:rsidRDefault="00CD0082" w:rsidP="00CD008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CD0082">
                              <w:t xml:space="preserve">Across key sectors, EU electronics production is expected to </w:t>
                            </w:r>
                            <w:proofErr w:type="gramStart"/>
                            <w:r w:rsidRPr="00CD0082">
                              <w:t>lag behind</w:t>
                            </w:r>
                            <w:proofErr w:type="gramEnd"/>
                            <w:r w:rsidRPr="00CD0082">
                              <w:t xml:space="preserve"> global trends and decline from 16.5% global market share today to 15% by 2035.</w:t>
                            </w:r>
                          </w:p>
                          <w:p w14:paraId="61FEAEB5" w14:textId="041A13F9" w:rsidR="00CD0082" w:rsidRPr="00CD0082" w:rsidRDefault="00CD0082" w:rsidP="00CD0082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</w:pPr>
                            <w:r w:rsidRPr="00CD0082"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 xml:space="preserve">Those numbers become starker when looking at </w:t>
                            </w:r>
                            <w:r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 xml:space="preserve">key </w:t>
                            </w:r>
                            <w:r w:rsidRPr="00CD0082"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>subsectors</w:t>
                            </w:r>
                            <w:r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CD0082"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>such as PCB production (1.7% global market share by 2035), advanced packaging (1.4%) and IC substrate production (0.7%)</w:t>
                            </w:r>
                            <w:r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 xml:space="preserve">, </w:t>
                            </w:r>
                            <w:r w:rsidRPr="00CD0082"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 xml:space="preserve">respectively. </w:t>
                            </w:r>
                          </w:p>
                          <w:p w14:paraId="3CBD81E6" w14:textId="494274A5" w:rsidR="00CD0082" w:rsidRPr="00CD0082" w:rsidRDefault="00CD0082" w:rsidP="00CD0082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</w:pPr>
                            <w:r w:rsidRPr="00CD0082"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 xml:space="preserve">Europe’s share of electronics manufacturing has </w:t>
                            </w:r>
                            <w:proofErr w:type="gramStart"/>
                            <w:r w:rsidRPr="00CD0082"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>fallen  in</w:t>
                            </w:r>
                            <w:proofErr w:type="gramEnd"/>
                            <w:r w:rsidRPr="00CD0082"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 xml:space="preserve"> the last two decades despite </w:t>
                            </w:r>
                            <w:r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 xml:space="preserve">soaring </w:t>
                            </w:r>
                            <w:r w:rsidRPr="00CD0082">
                              <w:rPr>
                                <w:rFonts w:cs="Arial"/>
                                <w:color w:val="000000"/>
                                <w:lang w:eastAsia="en-GB"/>
                              </w:rPr>
                              <w:t>demand for electronics.</w:t>
                            </w:r>
                          </w:p>
                          <w:p w14:paraId="211B328B" w14:textId="77777777" w:rsidR="00CD0082" w:rsidRDefault="00CD0082" w:rsidP="00CD0082"/>
                          <w:p w14:paraId="2DE154E8" w14:textId="65E88F38" w:rsidR="00CD0082" w:rsidRPr="00ED3D4B" w:rsidRDefault="00380EBF" w:rsidP="00380EB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Source: </w:t>
                            </w:r>
                            <w:hyperlink r:id="rId6" w:history="1">
                              <w:r w:rsidR="00CD0082">
                                <w:rPr>
                                  <w:rStyle w:val="Hyperlink"/>
                                  <w:rFonts w:ascii="Arial" w:hAnsi="Arial" w:cs="Arial"/>
                                  <w:lang w:eastAsia="en-GB"/>
                                </w:rPr>
                                <w:t>Securing the European Union’s Electronics Ecosystem</w:t>
                              </w:r>
                            </w:hyperlink>
                            <w:r w:rsidR="00CD0082">
                              <w:t xml:space="preserve">, IPC, 2024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22F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35pt;margin-top:29.7pt;width:488pt;height:15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JZEAIAACA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">
                <v:textbox>
                  <w:txbxContent>
                    <w:p w14:paraId="50058610" w14:textId="617C516B" w:rsidR="00380EBF" w:rsidRPr="0071032A" w:rsidRDefault="00380EBF" w:rsidP="00380EBF">
                      <w:pPr>
                        <w:rPr>
                          <w:b/>
                          <w:bCs/>
                        </w:rPr>
                      </w:pPr>
                      <w:r w:rsidRPr="0071032A">
                        <w:rPr>
                          <w:b/>
                          <w:bCs/>
                        </w:rPr>
                        <w:t xml:space="preserve">Fast Facts </w:t>
                      </w:r>
                      <w:r>
                        <w:rPr>
                          <w:b/>
                          <w:bCs/>
                        </w:rPr>
                        <w:t xml:space="preserve">on </w:t>
                      </w:r>
                      <w:r w:rsidR="00BB1EB4">
                        <w:rPr>
                          <w:b/>
                          <w:bCs/>
                        </w:rPr>
                        <w:t xml:space="preserve">EU </w:t>
                      </w:r>
                      <w:r>
                        <w:rPr>
                          <w:b/>
                          <w:bCs/>
                        </w:rPr>
                        <w:t xml:space="preserve">Electronics </w:t>
                      </w:r>
                    </w:p>
                    <w:p w14:paraId="114D6163" w14:textId="1A512E11" w:rsidR="00380EBF" w:rsidRPr="00CD0082" w:rsidRDefault="00CD0082" w:rsidP="00CD0082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CD0082">
                        <w:t xml:space="preserve">Across key sectors, EU electronics production is expected to </w:t>
                      </w:r>
                      <w:proofErr w:type="gramStart"/>
                      <w:r w:rsidRPr="00CD0082">
                        <w:t>lag behind</w:t>
                      </w:r>
                      <w:proofErr w:type="gramEnd"/>
                      <w:r w:rsidRPr="00CD0082">
                        <w:t xml:space="preserve"> global trends and decline from 16.5% global market share today to 15% by 2035.</w:t>
                      </w:r>
                    </w:p>
                    <w:p w14:paraId="61FEAEB5" w14:textId="041A13F9" w:rsidR="00CD0082" w:rsidRPr="00CD0082" w:rsidRDefault="00CD0082" w:rsidP="00CD0082">
                      <w:pPr>
                        <w:numPr>
                          <w:ilvl w:val="0"/>
                          <w:numId w:val="15"/>
                        </w:numPr>
                        <w:rPr>
                          <w:rFonts w:cs="Arial"/>
                          <w:color w:val="000000"/>
                          <w:lang w:eastAsia="en-GB"/>
                        </w:rPr>
                      </w:pPr>
                      <w:r w:rsidRPr="00CD0082">
                        <w:rPr>
                          <w:rFonts w:cs="Arial"/>
                          <w:color w:val="000000"/>
                          <w:lang w:eastAsia="en-GB"/>
                        </w:rPr>
                        <w:t xml:space="preserve">Those numbers become starker when looking at </w:t>
                      </w:r>
                      <w:r>
                        <w:rPr>
                          <w:rFonts w:cs="Arial"/>
                          <w:color w:val="000000"/>
                          <w:lang w:eastAsia="en-GB"/>
                        </w:rPr>
                        <w:t xml:space="preserve">key </w:t>
                      </w:r>
                      <w:r w:rsidRPr="00CD0082">
                        <w:rPr>
                          <w:rFonts w:cs="Arial"/>
                          <w:color w:val="000000"/>
                          <w:lang w:eastAsia="en-GB"/>
                        </w:rPr>
                        <w:t>subsectors</w:t>
                      </w:r>
                      <w:r>
                        <w:rPr>
                          <w:rFonts w:cs="Arial"/>
                          <w:color w:val="000000"/>
                          <w:lang w:eastAsia="en-GB"/>
                        </w:rPr>
                        <w:t xml:space="preserve"> </w:t>
                      </w:r>
                      <w:r w:rsidRPr="00CD0082">
                        <w:rPr>
                          <w:rFonts w:cs="Arial"/>
                          <w:color w:val="000000"/>
                          <w:lang w:eastAsia="en-GB"/>
                        </w:rPr>
                        <w:t>such as PCB production (1.7% global market share by 2035), advanced packaging (1.4%) and IC substrate production (0.7%)</w:t>
                      </w:r>
                      <w:r>
                        <w:rPr>
                          <w:rFonts w:cs="Arial"/>
                          <w:color w:val="000000"/>
                          <w:lang w:eastAsia="en-GB"/>
                        </w:rPr>
                        <w:t xml:space="preserve">, </w:t>
                      </w:r>
                      <w:r w:rsidRPr="00CD0082">
                        <w:rPr>
                          <w:rFonts w:cs="Arial"/>
                          <w:color w:val="000000"/>
                          <w:lang w:eastAsia="en-GB"/>
                        </w:rPr>
                        <w:t xml:space="preserve">respectively. </w:t>
                      </w:r>
                    </w:p>
                    <w:p w14:paraId="3CBD81E6" w14:textId="494274A5" w:rsidR="00CD0082" w:rsidRPr="00CD0082" w:rsidRDefault="00CD0082" w:rsidP="00CD0082">
                      <w:pPr>
                        <w:numPr>
                          <w:ilvl w:val="0"/>
                          <w:numId w:val="15"/>
                        </w:numPr>
                        <w:rPr>
                          <w:rFonts w:cs="Arial"/>
                          <w:color w:val="000000"/>
                          <w:lang w:eastAsia="en-GB"/>
                        </w:rPr>
                      </w:pPr>
                      <w:r w:rsidRPr="00CD0082">
                        <w:rPr>
                          <w:rFonts w:cs="Arial"/>
                          <w:color w:val="000000"/>
                          <w:lang w:eastAsia="en-GB"/>
                        </w:rPr>
                        <w:t xml:space="preserve">Europe’s share of electronics manufacturing has </w:t>
                      </w:r>
                      <w:proofErr w:type="gramStart"/>
                      <w:r w:rsidRPr="00CD0082">
                        <w:rPr>
                          <w:rFonts w:cs="Arial"/>
                          <w:color w:val="000000"/>
                          <w:lang w:eastAsia="en-GB"/>
                        </w:rPr>
                        <w:t>fallen  in</w:t>
                      </w:r>
                      <w:proofErr w:type="gramEnd"/>
                      <w:r w:rsidRPr="00CD0082">
                        <w:rPr>
                          <w:rFonts w:cs="Arial"/>
                          <w:color w:val="000000"/>
                          <w:lang w:eastAsia="en-GB"/>
                        </w:rPr>
                        <w:t xml:space="preserve"> the last two decades despite </w:t>
                      </w:r>
                      <w:r>
                        <w:rPr>
                          <w:rFonts w:cs="Arial"/>
                          <w:color w:val="000000"/>
                          <w:lang w:eastAsia="en-GB"/>
                        </w:rPr>
                        <w:t xml:space="preserve">soaring </w:t>
                      </w:r>
                      <w:r w:rsidRPr="00CD0082">
                        <w:rPr>
                          <w:rFonts w:cs="Arial"/>
                          <w:color w:val="000000"/>
                          <w:lang w:eastAsia="en-GB"/>
                        </w:rPr>
                        <w:t>demand for electronics.</w:t>
                      </w:r>
                    </w:p>
                    <w:p w14:paraId="211B328B" w14:textId="77777777" w:rsidR="00CD0082" w:rsidRDefault="00CD0082" w:rsidP="00CD0082"/>
                    <w:p w14:paraId="2DE154E8" w14:textId="65E88F38" w:rsidR="00CD0082" w:rsidRPr="00ED3D4B" w:rsidRDefault="00380EBF" w:rsidP="00380EB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Source: </w:t>
                      </w:r>
                      <w:hyperlink r:id="rId7" w:history="1">
                        <w:r w:rsidR="00CD0082">
                          <w:rPr>
                            <w:rStyle w:val="Hyperlink"/>
                            <w:rFonts w:ascii="Arial" w:hAnsi="Arial" w:cs="Arial"/>
                            <w:lang w:eastAsia="en-GB"/>
                          </w:rPr>
                          <w:t>Securing the European Union’s Electronics Ecosystem</w:t>
                        </w:r>
                      </w:hyperlink>
                      <w:r w:rsidR="00CD0082">
                        <w:t xml:space="preserve">, IPC, 2024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ECBB8" w14:textId="77777777" w:rsidR="00C06348" w:rsidRDefault="00C06348" w:rsidP="00493AF1"/>
    <w:p w14:paraId="7359C4C0" w14:textId="631A37D2" w:rsidR="00292961" w:rsidRPr="002A0DA4" w:rsidRDefault="00292961" w:rsidP="00493AF1">
      <w:pPr>
        <w:rPr>
          <w:b/>
          <w:bCs/>
        </w:rPr>
      </w:pPr>
      <w:r w:rsidRPr="002A0DA4">
        <w:rPr>
          <w:b/>
          <w:bCs/>
        </w:rPr>
        <w:t>For More Information:</w:t>
      </w:r>
    </w:p>
    <w:p w14:paraId="55DDFDC6" w14:textId="708696A3" w:rsidR="00292961" w:rsidRPr="00292961" w:rsidRDefault="00292961" w:rsidP="00493AF1">
      <w:pPr>
        <w:pStyle w:val="ListParagraph"/>
        <w:numPr>
          <w:ilvl w:val="0"/>
          <w:numId w:val="10"/>
        </w:numPr>
      </w:pPr>
      <w:r w:rsidRPr="00292961">
        <w:t xml:space="preserve">Email: </w:t>
      </w:r>
      <w:hyperlink r:id="rId8" w:history="1">
        <w:r w:rsidR="00BB1EB4">
          <w:rPr>
            <w:rStyle w:val="Hyperlink"/>
          </w:rPr>
          <w:t>AlisonJames@electronics.org</w:t>
        </w:r>
      </w:hyperlink>
    </w:p>
    <w:p w14:paraId="5BBFC99E" w14:textId="3306A150" w:rsidR="00292961" w:rsidRDefault="00292961" w:rsidP="00493AF1">
      <w:pPr>
        <w:pStyle w:val="ListParagraph"/>
        <w:numPr>
          <w:ilvl w:val="0"/>
          <w:numId w:val="10"/>
        </w:numPr>
      </w:pPr>
      <w:r w:rsidRPr="00292961">
        <w:t xml:space="preserve">Web: </w:t>
      </w:r>
      <w:hyperlink r:id="rId9" w:history="1">
        <w:r w:rsidR="00C06348">
          <w:rPr>
            <w:rStyle w:val="Hyperlink"/>
          </w:rPr>
          <w:t>EU Industry Call to Action on Electronics Manufacturing</w:t>
        </w:r>
      </w:hyperlink>
    </w:p>
    <w:p w14:paraId="34729477" w14:textId="49822EAE" w:rsidR="00C06348" w:rsidRPr="00292961" w:rsidRDefault="00C06348" w:rsidP="00493AF1">
      <w:pPr>
        <w:pStyle w:val="ListParagraph"/>
        <w:numPr>
          <w:ilvl w:val="0"/>
          <w:numId w:val="10"/>
        </w:numPr>
      </w:pPr>
      <w:r>
        <w:t xml:space="preserve">Study: </w:t>
      </w:r>
      <w:hyperlink r:id="rId10" w:history="1">
        <w:r>
          <w:rPr>
            <w:rStyle w:val="Hyperlink"/>
          </w:rPr>
          <w:t>Securing Europe's Electronics Ecosystem | electronics.org</w:t>
        </w:r>
      </w:hyperlink>
    </w:p>
    <w:p w14:paraId="3849694F" w14:textId="3F35A91D" w:rsidR="00292961" w:rsidRPr="00292961" w:rsidRDefault="00292961" w:rsidP="00493AF1">
      <w:pPr>
        <w:pStyle w:val="ListParagraph"/>
        <w:numPr>
          <w:ilvl w:val="0"/>
          <w:numId w:val="10"/>
        </w:numPr>
      </w:pPr>
      <w:r w:rsidRPr="00292961">
        <w:t xml:space="preserve">Web: </w:t>
      </w:r>
      <w:hyperlink r:id="rId11" w:history="1">
        <w:r>
          <w:rPr>
            <w:rStyle w:val="Hyperlink"/>
          </w:rPr>
          <w:t>Advocacy Home | electronics.org</w:t>
        </w:r>
      </w:hyperlink>
    </w:p>
    <w:sectPr w:rsidR="00292961" w:rsidRPr="00292961" w:rsidSect="002A0DA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636"/>
    <w:multiLevelType w:val="hybridMultilevel"/>
    <w:tmpl w:val="4B42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B20BE"/>
    <w:multiLevelType w:val="hybridMultilevel"/>
    <w:tmpl w:val="B9A4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D95B"/>
    <w:multiLevelType w:val="hybridMultilevel"/>
    <w:tmpl w:val="FFFFFFFF"/>
    <w:lvl w:ilvl="0" w:tplc="456E1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4E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63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28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A6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44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C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A5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10179"/>
    <w:multiLevelType w:val="hybridMultilevel"/>
    <w:tmpl w:val="4F5E3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117C15"/>
    <w:multiLevelType w:val="hybridMultilevel"/>
    <w:tmpl w:val="251C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B39D3"/>
    <w:multiLevelType w:val="hybridMultilevel"/>
    <w:tmpl w:val="18920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2A2585"/>
    <w:multiLevelType w:val="hybridMultilevel"/>
    <w:tmpl w:val="EF24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68E9"/>
    <w:multiLevelType w:val="hybridMultilevel"/>
    <w:tmpl w:val="DD78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1A5C"/>
    <w:multiLevelType w:val="hybridMultilevel"/>
    <w:tmpl w:val="07A4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85B49"/>
    <w:multiLevelType w:val="hybridMultilevel"/>
    <w:tmpl w:val="849C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4842A0"/>
    <w:multiLevelType w:val="hybridMultilevel"/>
    <w:tmpl w:val="D014171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75995203"/>
    <w:multiLevelType w:val="hybridMultilevel"/>
    <w:tmpl w:val="E79A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10BA5"/>
    <w:multiLevelType w:val="hybridMultilevel"/>
    <w:tmpl w:val="A220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43EFD"/>
    <w:multiLevelType w:val="hybridMultilevel"/>
    <w:tmpl w:val="4D669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B3B97"/>
    <w:multiLevelType w:val="hybridMultilevel"/>
    <w:tmpl w:val="F42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029158">
    <w:abstractNumId w:val="2"/>
  </w:num>
  <w:num w:numId="2" w16cid:durableId="986590128">
    <w:abstractNumId w:val="5"/>
  </w:num>
  <w:num w:numId="3" w16cid:durableId="1572306267">
    <w:abstractNumId w:val="12"/>
  </w:num>
  <w:num w:numId="4" w16cid:durableId="1040472670">
    <w:abstractNumId w:val="10"/>
  </w:num>
  <w:num w:numId="5" w16cid:durableId="1266110385">
    <w:abstractNumId w:val="14"/>
  </w:num>
  <w:num w:numId="6" w16cid:durableId="343749604">
    <w:abstractNumId w:val="6"/>
  </w:num>
  <w:num w:numId="7" w16cid:durableId="843208355">
    <w:abstractNumId w:val="11"/>
  </w:num>
  <w:num w:numId="8" w16cid:durableId="843058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1363452">
    <w:abstractNumId w:val="9"/>
  </w:num>
  <w:num w:numId="10" w16cid:durableId="886990051">
    <w:abstractNumId w:val="4"/>
  </w:num>
  <w:num w:numId="11" w16cid:durableId="211427497">
    <w:abstractNumId w:val="8"/>
  </w:num>
  <w:num w:numId="12" w16cid:durableId="1239361324">
    <w:abstractNumId w:val="0"/>
  </w:num>
  <w:num w:numId="13" w16cid:durableId="1550796686">
    <w:abstractNumId w:val="7"/>
  </w:num>
  <w:num w:numId="14" w16cid:durableId="2047441067">
    <w:abstractNumId w:val="1"/>
  </w:num>
  <w:num w:numId="15" w16cid:durableId="358121134">
    <w:abstractNumId w:val="3"/>
  </w:num>
  <w:num w:numId="16" w16cid:durableId="1605898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63"/>
    <w:rsid w:val="00087D74"/>
    <w:rsid w:val="001F56A8"/>
    <w:rsid w:val="002155E5"/>
    <w:rsid w:val="00292961"/>
    <w:rsid w:val="002A0DA4"/>
    <w:rsid w:val="00380EBF"/>
    <w:rsid w:val="003C7CB4"/>
    <w:rsid w:val="003E4057"/>
    <w:rsid w:val="00493AF1"/>
    <w:rsid w:val="004C4499"/>
    <w:rsid w:val="005A52CF"/>
    <w:rsid w:val="00602427"/>
    <w:rsid w:val="006F44C3"/>
    <w:rsid w:val="007875BA"/>
    <w:rsid w:val="00983D71"/>
    <w:rsid w:val="00B60563"/>
    <w:rsid w:val="00BB1EB4"/>
    <w:rsid w:val="00C048C8"/>
    <w:rsid w:val="00C06348"/>
    <w:rsid w:val="00CD0082"/>
    <w:rsid w:val="00D26DE0"/>
    <w:rsid w:val="00D445A0"/>
    <w:rsid w:val="00D843B3"/>
    <w:rsid w:val="00DA726D"/>
    <w:rsid w:val="00E6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229D7"/>
  <w15:chartTrackingRefBased/>
  <w15:docId w15:val="{CAC66DA3-FD3B-4C15-9785-A5AE6BC7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5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5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5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5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5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5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0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96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C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james@electronic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ails.ipc.org/links/IPC-Securing-Europe-Electronics-Ecosystem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ils.ipc.org/links/IPC-Securing-Europe-Electronics-Ecosystem.pdf" TargetMode="External"/><Relationship Id="rId11" Type="http://schemas.openxmlformats.org/officeDocument/2006/relationships/hyperlink" Target="https://www.electronics.org/advocating-global-electronics-industr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mails.ipc.org/links/IPC-Securing-Europe-Electronics-Ecosyste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ails.ipc.org/links/CalltoActionElectronicsManufactur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3705</Characters>
  <Application>Microsoft Office Word</Application>
  <DocSecurity>4</DocSecurity>
  <Lines>80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Curtis</dc:creator>
  <cp:keywords/>
  <dc:description/>
  <cp:lastModifiedBy>Mike Milostan</cp:lastModifiedBy>
  <cp:revision>2</cp:revision>
  <dcterms:created xsi:type="dcterms:W3CDTF">2025-10-16T22:00:00Z</dcterms:created>
  <dcterms:modified xsi:type="dcterms:W3CDTF">2025-10-16T22:00:00Z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08f939db-41c8-4faf-97ab-f7e2d7ccf9ff</vt:lpwstr>
  </property>
</Properties>
</file>